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5C" w:rsidRPr="00BA22D1" w:rsidRDefault="00283B5C" w:rsidP="00FB0CC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  <w:sz w:val="24"/>
          <w:lang w:eastAsia="it-IT"/>
        </w:rPr>
      </w:pPr>
      <w:r w:rsidRPr="00BA22D1">
        <w:rPr>
          <w:rFonts w:ascii="Georgia" w:hAnsi="Georgia"/>
          <w:sz w:val="24"/>
          <w:u w:val="single"/>
        </w:rPr>
        <w:t>Il quadro delle risorse finanziarie regionali, nazionali ed europee in materia di energia solare</w:t>
      </w:r>
      <w:r w:rsidRPr="00BA22D1">
        <w:rPr>
          <w:rFonts w:ascii="Georgia" w:hAnsi="Georgia"/>
          <w:sz w:val="24"/>
        </w:rPr>
        <w:t>;</w:t>
      </w:r>
    </w:p>
    <w:p w:rsidR="0061581E" w:rsidRDefault="0061581E" w:rsidP="00FB0CC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it-IT"/>
        </w:rPr>
      </w:pPr>
      <w:r w:rsidRPr="00B72ED9">
        <w:rPr>
          <w:rFonts w:ascii="Calibri" w:eastAsia="Times New Roman" w:hAnsi="Calibri" w:cs="Calibri"/>
          <w:bCs/>
          <w:lang w:eastAsia="it-IT"/>
        </w:rPr>
        <w:t>Vorrei, preliminarmente, mettere a confronto  la Strategia Energetica Nazionale</w:t>
      </w:r>
      <w:r w:rsidR="00973511">
        <w:rPr>
          <w:rFonts w:ascii="Calibri" w:eastAsia="Times New Roman" w:hAnsi="Calibri" w:cs="Calibri"/>
          <w:bCs/>
          <w:lang w:eastAsia="it-IT"/>
        </w:rPr>
        <w:t>,</w:t>
      </w:r>
      <w:r>
        <w:rPr>
          <w:rFonts w:ascii="Calibri" w:eastAsia="Times New Roman" w:hAnsi="Calibri" w:cs="Calibri"/>
          <w:lang w:eastAsia="it-IT"/>
        </w:rPr>
        <w:t xml:space="preserve"> </w:t>
      </w:r>
      <w:r w:rsidRPr="0061581E">
        <w:rPr>
          <w:rFonts w:ascii="Calibri" w:eastAsia="Times New Roman" w:hAnsi="Calibri" w:cs="Calibri"/>
          <w:lang w:eastAsia="it-IT"/>
        </w:rPr>
        <w:t xml:space="preserve">approvata </w:t>
      </w:r>
      <w:r w:rsidR="00973511">
        <w:rPr>
          <w:rFonts w:ascii="Calibri" w:eastAsia="Times New Roman" w:hAnsi="Calibri" w:cs="Calibri"/>
          <w:lang w:eastAsia="it-IT"/>
        </w:rPr>
        <w:t xml:space="preserve">l’anno scorso </w:t>
      </w:r>
      <w:r w:rsidRPr="0061581E">
        <w:rPr>
          <w:rFonts w:ascii="Calibri" w:eastAsia="Times New Roman" w:hAnsi="Calibri" w:cs="Calibri"/>
          <w:lang w:eastAsia="it-IT"/>
        </w:rPr>
        <w:t xml:space="preserve">dal Governo </w:t>
      </w:r>
      <w:r>
        <w:rPr>
          <w:rFonts w:ascii="Calibri" w:eastAsia="Times New Roman" w:hAnsi="Calibri" w:cs="Calibri"/>
          <w:lang w:eastAsia="it-IT"/>
        </w:rPr>
        <w:t xml:space="preserve">Monti, </w:t>
      </w:r>
      <w:r w:rsidRPr="0061581E">
        <w:rPr>
          <w:rFonts w:ascii="Calibri" w:eastAsia="Times New Roman" w:hAnsi="Calibri" w:cs="Calibri"/>
          <w:lang w:eastAsia="it-IT"/>
        </w:rPr>
        <w:t xml:space="preserve">fondata sul raddoppio della produzione nazionale di idrocarburi, </w:t>
      </w:r>
      <w:r>
        <w:rPr>
          <w:rFonts w:ascii="Calibri" w:eastAsia="Times New Roman" w:hAnsi="Calibri" w:cs="Calibri"/>
          <w:lang w:eastAsia="it-IT"/>
        </w:rPr>
        <w:t>(</w:t>
      </w:r>
      <w:r w:rsidRPr="0061581E">
        <w:rPr>
          <w:rFonts w:ascii="Calibri" w:eastAsia="Times New Roman" w:hAnsi="Calibri" w:cs="Calibri"/>
          <w:lang w:eastAsia="it-IT"/>
        </w:rPr>
        <w:t xml:space="preserve"> via libera alle perforazioni - perfino con la riduzione della distanza minima dalle coste per l’estrazione a mare</w:t>
      </w:r>
      <w:r>
        <w:rPr>
          <w:rFonts w:ascii="Calibri" w:eastAsia="Times New Roman" w:hAnsi="Calibri" w:cs="Calibri"/>
          <w:lang w:eastAsia="it-IT"/>
        </w:rPr>
        <w:t>)</w:t>
      </w:r>
      <w:r w:rsidRPr="0061581E">
        <w:rPr>
          <w:rFonts w:ascii="Calibri" w:eastAsia="Times New Roman" w:hAnsi="Calibri" w:cs="Calibri"/>
          <w:lang w:eastAsia="it-IT"/>
        </w:rPr>
        <w:t>- e sull’ obiettivo di fare dell’Italia un “</w:t>
      </w:r>
      <w:proofErr w:type="spellStart"/>
      <w:r w:rsidRPr="0061581E">
        <w:rPr>
          <w:rFonts w:ascii="Calibri" w:eastAsia="Times New Roman" w:hAnsi="Calibri" w:cs="Calibri"/>
          <w:lang w:eastAsia="it-IT"/>
        </w:rPr>
        <w:t>hub</w:t>
      </w:r>
      <w:proofErr w:type="spellEnd"/>
      <w:r w:rsidRPr="0061581E">
        <w:rPr>
          <w:rFonts w:ascii="Calibri" w:eastAsia="Times New Roman" w:hAnsi="Calibri" w:cs="Calibri"/>
          <w:lang w:eastAsia="it-IT"/>
        </w:rPr>
        <w:t>” del gas per l’Europa, con nuove infrastrutture (</w:t>
      </w:r>
      <w:proofErr w:type="spellStart"/>
      <w:r w:rsidRPr="0061581E">
        <w:rPr>
          <w:rFonts w:ascii="Calibri" w:eastAsia="Times New Roman" w:hAnsi="Calibri" w:cs="Calibri"/>
          <w:lang w:eastAsia="it-IT"/>
        </w:rPr>
        <w:t>rigassificatori</w:t>
      </w:r>
      <w:proofErr w:type="spellEnd"/>
      <w:r w:rsidRPr="0061581E">
        <w:rPr>
          <w:rFonts w:ascii="Calibri" w:eastAsia="Times New Roman" w:hAnsi="Calibri" w:cs="Calibri"/>
          <w:lang w:eastAsia="it-IT"/>
        </w:rPr>
        <w:t xml:space="preserve"> e depositi), </w:t>
      </w:r>
      <w:r>
        <w:rPr>
          <w:rFonts w:ascii="Calibri" w:eastAsia="Times New Roman" w:hAnsi="Calibri" w:cs="Calibri"/>
          <w:lang w:eastAsia="it-IT"/>
        </w:rPr>
        <w:t>con l’</w:t>
      </w:r>
      <w:proofErr w:type="spellStart"/>
      <w:r>
        <w:rPr>
          <w:rFonts w:ascii="Calibri" w:eastAsia="Times New Roman" w:hAnsi="Calibri" w:cs="Calibri"/>
          <w:lang w:eastAsia="it-IT"/>
        </w:rPr>
        <w:t>Energiewende</w:t>
      </w:r>
      <w:proofErr w:type="spellEnd"/>
      <w:r>
        <w:rPr>
          <w:rFonts w:ascii="Calibri" w:eastAsia="Times New Roman" w:hAnsi="Calibri" w:cs="Calibri"/>
          <w:lang w:eastAsia="it-IT"/>
        </w:rPr>
        <w:t xml:space="preserve">, il piano tedesco promosso della Signora </w:t>
      </w:r>
      <w:proofErr w:type="spellStart"/>
      <w:r>
        <w:rPr>
          <w:rFonts w:ascii="Calibri" w:eastAsia="Times New Roman" w:hAnsi="Calibri" w:cs="Calibri"/>
          <w:lang w:eastAsia="it-IT"/>
        </w:rPr>
        <w:t>Merckel</w:t>
      </w:r>
      <w:proofErr w:type="spellEnd"/>
      <w:r>
        <w:rPr>
          <w:rFonts w:ascii="Calibri" w:eastAsia="Times New Roman" w:hAnsi="Calibri" w:cs="Calibri"/>
          <w:lang w:eastAsia="it-IT"/>
        </w:rPr>
        <w:t xml:space="preserve"> che punta a passare dall’attuale 23% da fonti rinnovabili al 35% fra sette anni </w:t>
      </w:r>
      <w:r w:rsidR="00B72ED9">
        <w:rPr>
          <w:rFonts w:ascii="Calibri" w:eastAsia="Times New Roman" w:hAnsi="Calibri" w:cs="Calibri"/>
          <w:lang w:eastAsia="it-IT"/>
        </w:rPr>
        <w:t xml:space="preserve">sino </w:t>
      </w:r>
      <w:r>
        <w:rPr>
          <w:rFonts w:ascii="Calibri" w:eastAsia="Times New Roman" w:hAnsi="Calibri" w:cs="Calibri"/>
          <w:lang w:eastAsia="it-IT"/>
        </w:rPr>
        <w:t xml:space="preserve">all’80% </w:t>
      </w:r>
      <w:r w:rsidR="00B72ED9">
        <w:rPr>
          <w:rFonts w:ascii="Calibri" w:eastAsia="Times New Roman" w:hAnsi="Calibri" w:cs="Calibri"/>
          <w:lang w:eastAsia="it-IT"/>
        </w:rPr>
        <w:t>nel 2050 con un investimento complessivo di 550 miliardi di euro in 40 anni.</w:t>
      </w:r>
    </w:p>
    <w:p w:rsidR="00B72ED9" w:rsidRPr="0061581E" w:rsidRDefault="00B72ED9" w:rsidP="00FB0CC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Da queste cifre si misura la distanza tra un sistema economico – politico vecchio ed asfittico, il nostro, ed una </w:t>
      </w:r>
      <w:proofErr w:type="spellStart"/>
      <w:r>
        <w:rPr>
          <w:rFonts w:ascii="Calibri" w:eastAsia="Times New Roman" w:hAnsi="Calibri" w:cs="Calibri"/>
          <w:lang w:eastAsia="it-IT"/>
        </w:rPr>
        <w:t>vision</w:t>
      </w:r>
      <w:proofErr w:type="spellEnd"/>
      <w:r>
        <w:rPr>
          <w:rFonts w:ascii="Calibri" w:eastAsia="Times New Roman" w:hAnsi="Calibri" w:cs="Calibri"/>
          <w:lang w:eastAsia="it-IT"/>
        </w:rPr>
        <w:t xml:space="preserve"> tutt’altro che radicale ma capace di preparare il futuro.</w:t>
      </w:r>
      <w:r w:rsidR="00973511">
        <w:rPr>
          <w:rFonts w:ascii="Calibri" w:eastAsia="Times New Roman" w:hAnsi="Calibri" w:cs="Calibri"/>
          <w:lang w:eastAsia="it-IT"/>
        </w:rPr>
        <w:t xml:space="preserve"> Questo è il vero spread che pesa sul Paese.</w:t>
      </w:r>
    </w:p>
    <w:p w:rsidR="00973511" w:rsidRDefault="00B72ED9" w:rsidP="00FB0CC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bCs/>
          <w:lang w:eastAsia="it-IT"/>
        </w:rPr>
        <w:t>Nel</w:t>
      </w:r>
      <w:r w:rsidRPr="00B72ED9">
        <w:rPr>
          <w:rFonts w:ascii="Calibri" w:eastAsia="Times New Roman" w:hAnsi="Calibri" w:cs="Calibri"/>
          <w:bCs/>
          <w:lang w:eastAsia="it-IT"/>
        </w:rPr>
        <w:t>la Strategia Energetica Nazionale</w:t>
      </w:r>
      <w:r w:rsidR="0061581E" w:rsidRPr="0061581E">
        <w:rPr>
          <w:rFonts w:ascii="Calibri" w:eastAsia="Times New Roman" w:hAnsi="Calibri" w:cs="Calibri"/>
          <w:lang w:eastAsia="it-IT"/>
        </w:rPr>
        <w:t>, gli obiettivi quantitativi per le fonti rinnovabili e l’efficienza energetica non diventano effettivamente conseguibili, perché sono nella realtà ostacolati, favorendo le fonti fossili e i produttori convenzionali. La crescita contemporanea dei due sistemi – rinnovab</w:t>
      </w:r>
      <w:r w:rsidR="007170BF">
        <w:rPr>
          <w:rFonts w:ascii="Calibri" w:eastAsia="Times New Roman" w:hAnsi="Calibri" w:cs="Calibri"/>
          <w:lang w:eastAsia="it-IT"/>
        </w:rPr>
        <w:t>ili e fossili – non è credibile.</w:t>
      </w:r>
      <w:r w:rsidR="00BA7A34">
        <w:rPr>
          <w:rFonts w:ascii="Calibri" w:eastAsia="Times New Roman" w:hAnsi="Calibri" w:cs="Calibri"/>
          <w:lang w:eastAsia="it-IT"/>
        </w:rPr>
        <w:t xml:space="preserve"> </w:t>
      </w:r>
      <w:r w:rsidR="00973511" w:rsidRPr="0061581E">
        <w:rPr>
          <w:rFonts w:ascii="Calibri" w:eastAsia="Times New Roman" w:hAnsi="Calibri" w:cs="Calibri"/>
          <w:lang w:eastAsia="it-IT"/>
        </w:rPr>
        <w:t xml:space="preserve">In Italia, anche per effetto della crisi, abbiamo una domanda di elettricità in calo, una </w:t>
      </w:r>
      <w:proofErr w:type="spellStart"/>
      <w:r w:rsidR="00973511" w:rsidRPr="0061581E">
        <w:rPr>
          <w:rFonts w:ascii="Calibri" w:eastAsia="Times New Roman" w:hAnsi="Calibri" w:cs="Calibri"/>
          <w:lang w:eastAsia="it-IT"/>
        </w:rPr>
        <w:t>sovracapacità</w:t>
      </w:r>
      <w:proofErr w:type="spellEnd"/>
      <w:r w:rsidR="00973511" w:rsidRPr="0061581E">
        <w:rPr>
          <w:rFonts w:ascii="Calibri" w:eastAsia="Times New Roman" w:hAnsi="Calibri" w:cs="Calibri"/>
          <w:lang w:eastAsia="it-IT"/>
        </w:rPr>
        <w:t xml:space="preserve"> produttiva (il solo parco termoelettrico ha una potenza di picco di 81GW, a fronte di una domanda massima - raggiunta 5 anni fa - di 57 GW) mentre sta crescendo il peso delle fonti rinnovabili. Nell’aprile scorso tutte le rinnovabili hanno contribuito alla produzione per il 40% e tra queste il solare ha sfiorato il 10%.</w:t>
      </w:r>
    </w:p>
    <w:p w:rsidR="00973511" w:rsidRPr="0061581E" w:rsidRDefault="00973511" w:rsidP="00FB0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581E">
        <w:rPr>
          <w:rFonts w:ascii="Calibri" w:eastAsia="Times New Roman" w:hAnsi="Calibri" w:cs="Calibri"/>
          <w:lang w:eastAsia="it-IT"/>
        </w:rPr>
        <w:t>E’ questa la ragione che oppone i produttori elettrici convenzionali allo sviluppo delle fonti rinnovabili.</w:t>
      </w:r>
    </w:p>
    <w:p w:rsidR="00B72ED9" w:rsidRDefault="00B72ED9" w:rsidP="00FB0CC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A sostegno di questo disegno regressivo si alimenta l</w:t>
      </w:r>
      <w:r w:rsidRPr="0061581E">
        <w:rPr>
          <w:rFonts w:ascii="Calibri" w:eastAsia="Times New Roman" w:hAnsi="Calibri" w:cs="Calibri"/>
          <w:lang w:eastAsia="it-IT"/>
        </w:rPr>
        <w:t>a polemica</w:t>
      </w:r>
      <w:r>
        <w:rPr>
          <w:rFonts w:ascii="Calibri" w:eastAsia="Times New Roman" w:hAnsi="Calibri" w:cs="Calibri"/>
          <w:lang w:eastAsia="it-IT"/>
        </w:rPr>
        <w:t xml:space="preserve">, </w:t>
      </w:r>
      <w:r w:rsidR="00283B5C">
        <w:rPr>
          <w:rFonts w:ascii="Calibri" w:eastAsia="Times New Roman" w:hAnsi="Calibri" w:cs="Calibri"/>
          <w:lang w:eastAsia="it-IT"/>
        </w:rPr>
        <w:t xml:space="preserve">spesso </w:t>
      </w:r>
      <w:r w:rsidRPr="0061581E">
        <w:rPr>
          <w:rFonts w:ascii="Calibri" w:eastAsia="Times New Roman" w:hAnsi="Calibri" w:cs="Calibri"/>
          <w:lang w:eastAsia="it-IT"/>
        </w:rPr>
        <w:t>pretestuosa</w:t>
      </w:r>
      <w:r>
        <w:rPr>
          <w:rFonts w:ascii="Calibri" w:eastAsia="Times New Roman" w:hAnsi="Calibri" w:cs="Calibri"/>
          <w:lang w:eastAsia="it-IT"/>
        </w:rPr>
        <w:t>,</w:t>
      </w:r>
      <w:r w:rsidRPr="0061581E">
        <w:rPr>
          <w:rFonts w:ascii="Calibri" w:eastAsia="Times New Roman" w:hAnsi="Calibri" w:cs="Calibri"/>
          <w:lang w:eastAsia="it-IT"/>
        </w:rPr>
        <w:t xml:space="preserve"> sui costi degli incentivi. Il recente rapporto </w:t>
      </w:r>
      <w:proofErr w:type="spellStart"/>
      <w:r w:rsidRPr="0061581E">
        <w:rPr>
          <w:rFonts w:ascii="Calibri" w:eastAsia="Times New Roman" w:hAnsi="Calibri" w:cs="Calibri"/>
          <w:lang w:eastAsia="it-IT"/>
        </w:rPr>
        <w:t>Irex</w:t>
      </w:r>
      <w:proofErr w:type="spellEnd"/>
      <w:r w:rsidRPr="0061581E">
        <w:rPr>
          <w:rFonts w:ascii="Calibri" w:eastAsia="Times New Roman" w:hAnsi="Calibri" w:cs="Calibri"/>
          <w:lang w:eastAsia="it-IT"/>
        </w:rPr>
        <w:t xml:space="preserve"> 2013 di </w:t>
      </w:r>
      <w:proofErr w:type="spellStart"/>
      <w:r w:rsidRPr="0061581E">
        <w:rPr>
          <w:rFonts w:ascii="Calibri" w:eastAsia="Times New Roman" w:hAnsi="Calibri" w:cs="Calibri"/>
          <w:lang w:eastAsia="it-IT"/>
        </w:rPr>
        <w:t>Althesys</w:t>
      </w:r>
      <w:proofErr w:type="spellEnd"/>
      <w:r w:rsidRPr="0061581E">
        <w:rPr>
          <w:rFonts w:ascii="Calibri" w:eastAsia="Times New Roman" w:hAnsi="Calibri" w:cs="Calibri"/>
          <w:lang w:eastAsia="it-IT"/>
        </w:rPr>
        <w:t xml:space="preserve"> (Bocconi) stima, da qui al 2030, con uno sviluppo moderato delle rinnovabili, un beneficio per l’economia nazionale di 19 miliardi di Euro (mentre con uno sviluppo più spinto si potrebbe arrivare a 50 </w:t>
      </w:r>
      <w:proofErr w:type="spellStart"/>
      <w:r w:rsidRPr="0061581E">
        <w:rPr>
          <w:rFonts w:ascii="Calibri" w:eastAsia="Times New Roman" w:hAnsi="Calibri" w:cs="Calibri"/>
          <w:lang w:eastAsia="it-IT"/>
        </w:rPr>
        <w:t>Mld</w:t>
      </w:r>
      <w:proofErr w:type="spellEnd"/>
      <w:r w:rsidRPr="0061581E">
        <w:rPr>
          <w:rFonts w:ascii="Calibri" w:eastAsia="Times New Roman" w:hAnsi="Calibri" w:cs="Calibri"/>
          <w:lang w:eastAsia="it-IT"/>
        </w:rPr>
        <w:t>). In questo calcolo stanno le ricadute occupazionali, il risparmio sull’import di combustibili fossili e gli effetti sul prezzo dell’elettricità, non mettendo in conto gli ulteriori benefici sulla salute e sul clima.</w:t>
      </w:r>
    </w:p>
    <w:p w:rsidR="007170BF" w:rsidRPr="0061581E" w:rsidRDefault="00973511" w:rsidP="00FB0CC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it-IT"/>
        </w:rPr>
      </w:pPr>
      <w:r w:rsidRPr="007170BF">
        <w:rPr>
          <w:rFonts w:ascii="Calibri" w:eastAsia="Times New Roman" w:hAnsi="Calibri" w:cs="Calibri"/>
          <w:lang w:eastAsia="it-IT"/>
        </w:rPr>
        <w:t xml:space="preserve">Non mancano, persino in Italia, segnali importanti della consapevolezza della necessità di un nuovo indirizzo. </w:t>
      </w:r>
      <w:r w:rsidRPr="0061581E">
        <w:rPr>
          <w:rFonts w:ascii="Calibri" w:eastAsia="Times New Roman" w:hAnsi="Calibri" w:cs="Calibri"/>
          <w:lang w:eastAsia="it-IT"/>
        </w:rPr>
        <w:t>A proposito di efficienza energetica, in tutti i settori, è significativo il documento</w:t>
      </w:r>
      <w:r w:rsidRPr="007170BF">
        <w:rPr>
          <w:rFonts w:ascii="Calibri" w:eastAsia="Times New Roman" w:hAnsi="Calibri" w:cs="Calibri"/>
          <w:lang w:eastAsia="it-IT"/>
        </w:rPr>
        <w:t xml:space="preserve"> congiunto Confindustria/ Cgil Cisl Uil del 2011 “Efficienza energetica, opportunità di crescita per il paese”</w:t>
      </w:r>
      <w:r w:rsidR="00283B5C">
        <w:rPr>
          <w:rFonts w:ascii="Calibri" w:eastAsia="Times New Roman" w:hAnsi="Calibri" w:cs="Calibri"/>
          <w:lang w:eastAsia="it-IT"/>
        </w:rPr>
        <w:t xml:space="preserve">. </w:t>
      </w:r>
      <w:r w:rsidR="007170BF" w:rsidRPr="007170BF">
        <w:rPr>
          <w:rFonts w:ascii="Calibri" w:eastAsia="Times New Roman" w:hAnsi="Calibri" w:cs="Calibri"/>
          <w:lang w:eastAsia="it-IT"/>
        </w:rPr>
        <w:t xml:space="preserve"> </w:t>
      </w:r>
      <w:r w:rsidR="007170BF" w:rsidRPr="0061581E">
        <w:rPr>
          <w:rFonts w:ascii="Calibri" w:eastAsia="Times New Roman" w:hAnsi="Calibri" w:cs="Calibri"/>
          <w:lang w:eastAsia="it-IT"/>
        </w:rPr>
        <w:t xml:space="preserve">Lo sviluppo delle fonti rinnovabili e dell’efficienza energetica coinvolge </w:t>
      </w:r>
      <w:r w:rsidR="007170BF" w:rsidRPr="007170BF">
        <w:rPr>
          <w:rFonts w:ascii="Calibri" w:eastAsia="Times New Roman" w:hAnsi="Calibri" w:cs="Calibri"/>
          <w:lang w:eastAsia="it-IT"/>
        </w:rPr>
        <w:t>tutti i settori merceologici e produttivi</w:t>
      </w:r>
      <w:r w:rsidR="007170BF" w:rsidRPr="0061581E">
        <w:rPr>
          <w:rFonts w:ascii="Calibri" w:eastAsia="Times New Roman" w:hAnsi="Calibri" w:cs="Calibri"/>
          <w:lang w:eastAsia="it-IT"/>
        </w:rPr>
        <w:t xml:space="preserve">, incluso i </w:t>
      </w:r>
      <w:r w:rsidR="007170BF" w:rsidRPr="007170BF">
        <w:rPr>
          <w:rFonts w:ascii="Calibri" w:eastAsia="Times New Roman" w:hAnsi="Calibri" w:cs="Calibri"/>
          <w:lang w:eastAsia="it-IT"/>
        </w:rPr>
        <w:t>trasporti,</w:t>
      </w:r>
      <w:r w:rsidR="007170BF" w:rsidRPr="0061581E">
        <w:rPr>
          <w:rFonts w:ascii="Calibri" w:eastAsia="Times New Roman" w:hAnsi="Calibri" w:cs="Calibri"/>
          <w:lang w:eastAsia="it-IT"/>
        </w:rPr>
        <w:t xml:space="preserve"> la </w:t>
      </w:r>
      <w:r w:rsidR="007170BF" w:rsidRPr="007170BF">
        <w:rPr>
          <w:rFonts w:ascii="Calibri" w:eastAsia="Times New Roman" w:hAnsi="Calibri" w:cs="Calibri"/>
          <w:lang w:eastAsia="it-IT"/>
        </w:rPr>
        <w:t xml:space="preserve">logistica </w:t>
      </w:r>
      <w:r w:rsidR="007170BF" w:rsidRPr="0061581E">
        <w:rPr>
          <w:rFonts w:ascii="Calibri" w:eastAsia="Times New Roman" w:hAnsi="Calibri" w:cs="Calibri"/>
          <w:lang w:eastAsia="it-IT"/>
        </w:rPr>
        <w:t xml:space="preserve">– pensiamo alle implicazioni dello sviluppo di mezzi elettrici – ma anche i </w:t>
      </w:r>
      <w:r w:rsidR="007170BF" w:rsidRPr="007170BF">
        <w:rPr>
          <w:rFonts w:ascii="Calibri" w:eastAsia="Times New Roman" w:hAnsi="Calibri" w:cs="Calibri"/>
          <w:lang w:eastAsia="it-IT"/>
        </w:rPr>
        <w:t>servizi</w:t>
      </w:r>
      <w:r w:rsidR="007170BF">
        <w:rPr>
          <w:rFonts w:ascii="Calibri" w:eastAsia="Times New Roman" w:hAnsi="Calibri" w:cs="Calibri"/>
          <w:lang w:eastAsia="it-IT"/>
        </w:rPr>
        <w:t xml:space="preserve">, </w:t>
      </w:r>
      <w:r w:rsidR="007170BF" w:rsidRPr="0061581E">
        <w:rPr>
          <w:rFonts w:ascii="Calibri" w:eastAsia="Times New Roman" w:hAnsi="Calibri" w:cs="Calibri"/>
          <w:lang w:eastAsia="it-IT"/>
        </w:rPr>
        <w:t xml:space="preserve">e la </w:t>
      </w:r>
      <w:r w:rsidR="007170BF" w:rsidRPr="007170BF">
        <w:rPr>
          <w:rFonts w:ascii="Calibri" w:eastAsia="Times New Roman" w:hAnsi="Calibri" w:cs="Calibri"/>
          <w:lang w:eastAsia="it-IT"/>
        </w:rPr>
        <w:t xml:space="preserve">pubblica Amministrazione. </w:t>
      </w:r>
      <w:r w:rsidR="00283B5C">
        <w:rPr>
          <w:rFonts w:ascii="Calibri" w:eastAsia="Times New Roman" w:hAnsi="Calibri" w:cs="Calibri"/>
          <w:lang w:eastAsia="it-IT"/>
        </w:rPr>
        <w:t xml:space="preserve"> Un’occasione </w:t>
      </w:r>
      <w:proofErr w:type="spellStart"/>
      <w:r w:rsidR="00283B5C">
        <w:rPr>
          <w:rFonts w:ascii="Calibri" w:eastAsia="Times New Roman" w:hAnsi="Calibri" w:cs="Calibri"/>
          <w:lang w:eastAsia="it-IT"/>
        </w:rPr>
        <w:t>strordinaria</w:t>
      </w:r>
      <w:proofErr w:type="spellEnd"/>
      <w:r w:rsidR="00283B5C">
        <w:rPr>
          <w:rFonts w:ascii="Calibri" w:eastAsia="Times New Roman" w:hAnsi="Calibri" w:cs="Calibri"/>
          <w:lang w:eastAsia="it-IT"/>
        </w:rPr>
        <w:t xml:space="preserve"> di crescita e di innovazione di sistema.</w:t>
      </w:r>
    </w:p>
    <w:p w:rsidR="00973511" w:rsidRPr="0061581E" w:rsidRDefault="007170BF" w:rsidP="00FB0CC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it-IT"/>
        </w:rPr>
      </w:pPr>
      <w:r w:rsidRPr="007170BF">
        <w:rPr>
          <w:rFonts w:ascii="Calibri" w:eastAsia="Times New Roman" w:hAnsi="Calibri" w:cs="Calibri"/>
          <w:lang w:eastAsia="it-IT"/>
        </w:rPr>
        <w:t>I</w:t>
      </w:r>
      <w:r w:rsidR="00973511" w:rsidRPr="007170BF">
        <w:rPr>
          <w:rFonts w:ascii="Calibri" w:eastAsia="Times New Roman" w:hAnsi="Calibri" w:cs="Calibri"/>
          <w:lang w:eastAsia="it-IT"/>
        </w:rPr>
        <w:t xml:space="preserve">l peso </w:t>
      </w:r>
      <w:r w:rsidRPr="007170BF">
        <w:rPr>
          <w:rFonts w:ascii="Calibri" w:eastAsia="Times New Roman" w:hAnsi="Calibri" w:cs="Calibri"/>
          <w:lang w:eastAsia="it-IT"/>
        </w:rPr>
        <w:t xml:space="preserve">della “ lobby energetica fossile” condiziona, tuttavia, le scelte </w:t>
      </w:r>
      <w:r w:rsidR="00283B5C">
        <w:rPr>
          <w:rFonts w:ascii="Calibri" w:eastAsia="Times New Roman" w:hAnsi="Calibri" w:cs="Calibri"/>
          <w:lang w:eastAsia="it-IT"/>
        </w:rPr>
        <w:t xml:space="preserve">concrete </w:t>
      </w:r>
      <w:r w:rsidRPr="007170BF">
        <w:rPr>
          <w:rFonts w:ascii="Calibri" w:eastAsia="Times New Roman" w:hAnsi="Calibri" w:cs="Calibri"/>
          <w:lang w:eastAsia="it-IT"/>
        </w:rPr>
        <w:t>di politica energetica italiana</w:t>
      </w:r>
    </w:p>
    <w:p w:rsidR="002D538A" w:rsidRPr="00442166" w:rsidRDefault="00BA7A34" w:rsidP="00FB0CCB">
      <w:pPr>
        <w:jc w:val="both"/>
      </w:pPr>
      <w:r>
        <w:t xml:space="preserve">Vi è, poi, un’ulteriore handicap culturale che pesa sull’Italia: la fiducia sulle virtù teleologiche del mercato per le quali, senza soggetti industriali di scopo e politiche di governo specifiche, gli obiettivi verranno raggiunti ad opera di una provvidenza </w:t>
      </w:r>
      <w:r w:rsidR="00442166">
        <w:t xml:space="preserve">( non divina) insita nel sistema. In un paese seriamente capitalista come la Germania tra il 2007 e la metà del 2012 sono state create più di 60 municipalizzate elettriche </w:t>
      </w:r>
      <w:r w:rsidR="00442166" w:rsidRPr="00442166">
        <w:t>(</w:t>
      </w:r>
      <w:proofErr w:type="spellStart"/>
      <w:r w:rsidR="00442166" w:rsidRPr="00442166">
        <w:t>stadtwerke</w:t>
      </w:r>
      <w:proofErr w:type="spellEnd"/>
      <w:r w:rsidR="00442166" w:rsidRPr="00442166">
        <w:t>)</w:t>
      </w:r>
      <w:r w:rsidR="00442166">
        <w:t xml:space="preserve"> e più di 190 concessioni per la gestione di reti di distribuzione sono tornate in mani pubbliche.</w:t>
      </w:r>
      <w:r w:rsidR="00442166">
        <w:rPr>
          <w:rStyle w:val="Rimandonotaapidipagina"/>
        </w:rPr>
        <w:footnoteReference w:id="1"/>
      </w:r>
      <w:r w:rsidR="00FB0CCB">
        <w:t xml:space="preserve"> Persino nel Regno unito del conservatore Cameron si sta creando un’Agenzia per decidere e finanziare gli investimenti nel settore delle rinnovabili.</w:t>
      </w:r>
    </w:p>
    <w:p w:rsidR="00A13C03" w:rsidRDefault="00FB0CCB" w:rsidP="00283B5C">
      <w:pPr>
        <w:jc w:val="both"/>
      </w:pPr>
      <w:r w:rsidRPr="00FB0CCB">
        <w:lastRenderedPageBreak/>
        <w:t>In Italia ci siamo affidati esclusivamente  a meccanismi</w:t>
      </w:r>
      <w:r w:rsidR="00A13C03">
        <w:t>,</w:t>
      </w:r>
      <w:r w:rsidRPr="00FB0CCB">
        <w:t xml:space="preserve"> </w:t>
      </w:r>
      <w:r>
        <w:t>come il Conto Energia</w:t>
      </w:r>
      <w:r w:rsidR="00A13C03">
        <w:t>, basati su incentivi a privati, quali gli sconti fiscali,  finanziati da quote di tariffa. Molto più modesti i  contributi in conto capitale (somme erogate dallo Stato per mezzo de</w:t>
      </w:r>
      <w:r w:rsidR="006C663F">
        <w:t xml:space="preserve">i Ministeri e/o da altri Enti, </w:t>
      </w:r>
      <w:r w:rsidR="00A13C03">
        <w:t>Regioni, Province e Comuni, a cittadini, Enti Locali e Imprese, per la realizzazione di alcuni progetti. Nel caso specifico constano di interventi volti alla promozione di specifiche tecnologie nei settori dell’efficienza energetica e delle fonti rinnovabili. )</w:t>
      </w:r>
      <w:r w:rsidR="00283B5C">
        <w:t>.</w:t>
      </w:r>
    </w:p>
    <w:p w:rsidR="00283B5C" w:rsidRDefault="00283B5C" w:rsidP="00283B5C">
      <w:pPr>
        <w:jc w:val="both"/>
      </w:pPr>
      <w:r>
        <w:t>E’ inutile dire che parole come programmazione territoriale, target qualitativi e quantitativi sono, in questo contesto, come il cane in chiesa. Già siamo fortunati che, per le regole europee, i bandi debbano essere pubblici.</w:t>
      </w:r>
    </w:p>
    <w:p w:rsidR="00EF3873" w:rsidRDefault="00EF3873" w:rsidP="00283B5C">
      <w:pPr>
        <w:jc w:val="both"/>
        <w:rPr>
          <w:b/>
        </w:rPr>
      </w:pPr>
      <w:r>
        <w:t xml:space="preserve">La politica europea non è, ovviamente, un luogo neutro scevro da conflitti: il 12 settembre scorso i </w:t>
      </w:r>
      <w:r>
        <w:t xml:space="preserve">nove colossi energetici europei </w:t>
      </w:r>
      <w:r>
        <w:t>(</w:t>
      </w:r>
      <w:r w:rsidRPr="00EF3873">
        <w:rPr>
          <w:rStyle w:val="Enfasigrassetto"/>
          <w:b w:val="0"/>
          <w:i/>
        </w:rPr>
        <w:t xml:space="preserve">Eni, Enel, </w:t>
      </w:r>
      <w:proofErr w:type="spellStart"/>
      <w:r w:rsidRPr="00EF3873">
        <w:rPr>
          <w:rStyle w:val="Enfasigrassetto"/>
          <w:b w:val="0"/>
          <w:i/>
        </w:rPr>
        <w:t>E.On</w:t>
      </w:r>
      <w:proofErr w:type="spellEnd"/>
      <w:r w:rsidRPr="00EF3873">
        <w:rPr>
          <w:rStyle w:val="Enfasigrassetto"/>
          <w:b w:val="0"/>
          <w:i/>
        </w:rPr>
        <w:t xml:space="preserve">, Gas Natural </w:t>
      </w:r>
      <w:proofErr w:type="spellStart"/>
      <w:r w:rsidRPr="00EF3873">
        <w:rPr>
          <w:rStyle w:val="Enfasigrassetto"/>
          <w:b w:val="0"/>
          <w:i/>
        </w:rPr>
        <w:t>Fenosa</w:t>
      </w:r>
      <w:proofErr w:type="spellEnd"/>
      <w:r w:rsidRPr="00EF3873">
        <w:rPr>
          <w:rStyle w:val="Enfasigrassetto"/>
          <w:b w:val="0"/>
          <w:i/>
        </w:rPr>
        <w:t xml:space="preserve">, </w:t>
      </w:r>
      <w:proofErr w:type="spellStart"/>
      <w:r w:rsidRPr="00EF3873">
        <w:rPr>
          <w:rStyle w:val="Enfasigrassetto"/>
          <w:b w:val="0"/>
          <w:i/>
        </w:rPr>
        <w:t>GasTerra</w:t>
      </w:r>
      <w:proofErr w:type="spellEnd"/>
      <w:r w:rsidRPr="00EF3873">
        <w:rPr>
          <w:rStyle w:val="Enfasigrassetto"/>
          <w:b w:val="0"/>
          <w:i/>
        </w:rPr>
        <w:t xml:space="preserve">, </w:t>
      </w:r>
      <w:proofErr w:type="spellStart"/>
      <w:r w:rsidRPr="00EF3873">
        <w:rPr>
          <w:rStyle w:val="Enfasigrassetto"/>
          <w:b w:val="0"/>
          <w:i/>
        </w:rPr>
        <w:t>Iberdrola</w:t>
      </w:r>
      <w:proofErr w:type="spellEnd"/>
      <w:r w:rsidRPr="00EF3873">
        <w:rPr>
          <w:rStyle w:val="Enfasigrassetto"/>
          <w:b w:val="0"/>
          <w:i/>
        </w:rPr>
        <w:t>, RWE</w:t>
      </w:r>
      <w:r w:rsidRPr="00EF3873">
        <w:rPr>
          <w:b/>
          <w:i/>
        </w:rPr>
        <w:t xml:space="preserve"> e </w:t>
      </w:r>
      <w:proofErr w:type="spellStart"/>
      <w:r w:rsidRPr="00EF3873">
        <w:rPr>
          <w:rStyle w:val="Enfasigrassetto"/>
          <w:b w:val="0"/>
          <w:i/>
        </w:rPr>
        <w:t>Vattenfall</w:t>
      </w:r>
      <w:proofErr w:type="spellEnd"/>
      <w:r>
        <w:t xml:space="preserve"> ) </w:t>
      </w:r>
      <w:r>
        <w:t xml:space="preserve">hanno presentato ieri al </w:t>
      </w:r>
      <w:hyperlink r:id="rId8" w:tgtFrame="_blank" w:history="1">
        <w:r w:rsidRPr="00EF3873">
          <w:rPr>
            <w:rStyle w:val="Collegamentoipertestuale"/>
            <w:color w:val="auto"/>
            <w:u w:val="none"/>
          </w:rPr>
          <w:t xml:space="preserve">Parlamento </w:t>
        </w:r>
        <w:r>
          <w:rPr>
            <w:rStyle w:val="Collegamentoipertestuale"/>
            <w:color w:val="auto"/>
            <w:u w:val="none"/>
          </w:rPr>
          <w:t xml:space="preserve"> </w:t>
        </w:r>
        <w:r w:rsidRPr="00EF3873">
          <w:rPr>
            <w:rStyle w:val="Collegamentoipertestuale"/>
            <w:color w:val="auto"/>
            <w:u w:val="none"/>
          </w:rPr>
          <w:t>Ue</w:t>
        </w:r>
      </w:hyperlink>
      <w:r>
        <w:t xml:space="preserve"> la propria strategia per </w:t>
      </w:r>
      <w:r w:rsidRPr="00EF3873">
        <w:rPr>
          <w:rStyle w:val="Enfasigrassetto"/>
          <w:b w:val="0"/>
        </w:rPr>
        <w:t>riformare il settore energetico comunitario</w:t>
      </w:r>
      <w:r>
        <w:rPr>
          <w:b/>
        </w:rPr>
        <w:t xml:space="preserve">. </w:t>
      </w:r>
    </w:p>
    <w:p w:rsidR="006C663F" w:rsidRDefault="00EF3873" w:rsidP="00283B5C">
      <w:pPr>
        <w:jc w:val="both"/>
        <w:rPr>
          <w:rStyle w:val="Enfasicorsivo"/>
          <w:i w:val="0"/>
        </w:rPr>
      </w:pPr>
      <w:r w:rsidRPr="006C663F">
        <w:t xml:space="preserve">La loro proposta, in sostanza, prevede che </w:t>
      </w:r>
      <w:r w:rsidRPr="006C663F">
        <w:t xml:space="preserve">le </w:t>
      </w:r>
      <w:r w:rsidRPr="006C663F">
        <w:rPr>
          <w:rStyle w:val="Enfasigrassetto"/>
          <w:b w:val="0"/>
        </w:rPr>
        <w:t>tecnologie</w:t>
      </w:r>
      <w:r w:rsidRPr="006C663F">
        <w:rPr>
          <w:rStyle w:val="Enfasigrassetto"/>
        </w:rPr>
        <w:t xml:space="preserve"> </w:t>
      </w:r>
      <w:hyperlink r:id="rId9" w:tgtFrame="_blank" w:history="1">
        <w:r w:rsidRPr="006C663F">
          <w:rPr>
            <w:rStyle w:val="Collegamentoipertestuale"/>
            <w:bCs/>
            <w:color w:val="auto"/>
            <w:u w:val="none"/>
          </w:rPr>
          <w:t>rinnovabili</w:t>
        </w:r>
      </w:hyperlink>
      <w:r w:rsidRPr="006C663F">
        <w:rPr>
          <w:rStyle w:val="Enfasigrassetto"/>
        </w:rPr>
        <w:t xml:space="preserve"> </w:t>
      </w:r>
      <w:r w:rsidRPr="006C663F">
        <w:rPr>
          <w:rStyle w:val="Enfasigrassetto"/>
          <w:b w:val="0"/>
        </w:rPr>
        <w:t>più mature dovrebbero competere nel mercato energetico regolare</w:t>
      </w:r>
      <w:r w:rsidRPr="006C663F">
        <w:t xml:space="preserve"> </w:t>
      </w:r>
      <w:r w:rsidRPr="006C663F">
        <w:t xml:space="preserve">eliminando, dunque, gli </w:t>
      </w:r>
      <w:r w:rsidRPr="006C663F">
        <w:t xml:space="preserve">incentivi statali concessi alle green </w:t>
      </w:r>
      <w:proofErr w:type="spellStart"/>
      <w:r w:rsidRPr="006C663F">
        <w:t>energy</w:t>
      </w:r>
      <w:proofErr w:type="spellEnd"/>
      <w:r w:rsidR="006C663F">
        <w:t>, c</w:t>
      </w:r>
      <w:r w:rsidR="006C663F" w:rsidRPr="006C663F">
        <w:t xml:space="preserve">oncentrando i finanziamenti sulle </w:t>
      </w:r>
      <w:r w:rsidRPr="006C663F">
        <w:rPr>
          <w:rStyle w:val="Enfasicorsivo"/>
        </w:rPr>
        <w:t xml:space="preserve"> politiche di ricerca e sviluppo (</w:t>
      </w:r>
      <w:proofErr w:type="spellStart"/>
      <w:r w:rsidRPr="006C663F">
        <w:rPr>
          <w:rStyle w:val="Enfasicorsivo"/>
        </w:rPr>
        <w:t>Horizon</w:t>
      </w:r>
      <w:proofErr w:type="spellEnd"/>
      <w:r w:rsidRPr="006C663F">
        <w:rPr>
          <w:rStyle w:val="Enfasicorsivo"/>
        </w:rPr>
        <w:t xml:space="preserve"> 2020) </w:t>
      </w:r>
      <w:r w:rsidR="006C663F" w:rsidRPr="006C663F">
        <w:rPr>
          <w:rStyle w:val="Enfasicorsivo"/>
        </w:rPr>
        <w:t xml:space="preserve">… e </w:t>
      </w:r>
      <w:r w:rsidRPr="006C663F">
        <w:rPr>
          <w:rStyle w:val="Enfasicorsivo"/>
        </w:rPr>
        <w:t xml:space="preserve"> sostenere le tecnologie dell’energia da fonti rinnovabili meno mature attraverso maggiori sforzi di R &amp; S, piuttosto che con sovvenzioni alla produzione”.</w:t>
      </w:r>
      <w:r w:rsidR="006C663F">
        <w:rPr>
          <w:rStyle w:val="Enfasicorsivo"/>
        </w:rPr>
        <w:t xml:space="preserve">  </w:t>
      </w:r>
      <w:r w:rsidR="006C663F">
        <w:rPr>
          <w:rStyle w:val="Enfasicorsivo"/>
          <w:i w:val="0"/>
        </w:rPr>
        <w:t xml:space="preserve"> </w:t>
      </w:r>
    </w:p>
    <w:p w:rsidR="00EF3873" w:rsidRDefault="006C663F" w:rsidP="00283B5C">
      <w:pPr>
        <w:jc w:val="both"/>
        <w:rPr>
          <w:rStyle w:val="Enfasicorsivo"/>
          <w:i w:val="0"/>
        </w:rPr>
      </w:pPr>
      <w:r>
        <w:rPr>
          <w:rStyle w:val="Enfasicorsivo"/>
          <w:i w:val="0"/>
        </w:rPr>
        <w:t>E’ naturale rilevare che lo sviluppo impetuoso delle rinnovabili sta creando seri problemi agli attuali oligopoli che diventano, improvvisamente, strenui difensori degli interessi tariffari dei consumatori.</w:t>
      </w:r>
    </w:p>
    <w:p w:rsidR="00BA22D1" w:rsidRPr="006C663F" w:rsidRDefault="00BA22D1" w:rsidP="00283B5C">
      <w:pPr>
        <w:jc w:val="both"/>
      </w:pPr>
      <w:r>
        <w:rPr>
          <w:rStyle w:val="Enfasicorsivo"/>
          <w:i w:val="0"/>
        </w:rPr>
        <w:t>D’altra parte il focus delle politiche dell’Unione si sta concentrando su misure tese al risparmio ed al corretto uso dell’energia piuttosto che alla produzione</w:t>
      </w:r>
      <w:r>
        <w:rPr>
          <w:rStyle w:val="Rimandonotaapidipagina"/>
          <w:iCs/>
        </w:rPr>
        <w:footnoteReference w:id="2"/>
      </w:r>
    </w:p>
    <w:p w:rsidR="005204C7" w:rsidRPr="005204C7" w:rsidRDefault="00BA22D1" w:rsidP="00BA22D1">
      <w:pPr>
        <w:spacing w:after="0" w:line="240" w:lineRule="auto"/>
        <w:jc w:val="both"/>
        <w:rPr>
          <w:rFonts w:ascii="ECSquareSansPro-ExtraBlack" w:hAnsi="ECSquareSansPro-ExtraBlack" w:cs="ECSquareSansPro-ExtraBlack"/>
          <w:i/>
          <w:color w:val="FFFFFF"/>
          <w:sz w:val="24"/>
          <w:szCs w:val="24"/>
        </w:rPr>
      </w:pPr>
      <w:r w:rsidRPr="00BA22D1">
        <w:rPr>
          <w:rStyle w:val="Enfasicorsivo"/>
          <w:i w:val="0"/>
        </w:rPr>
        <w:t xml:space="preserve">L'UE mira a raggiungere il 20% della sua energia da fonti rinnovabili entro il 2020. </w:t>
      </w:r>
      <w:r w:rsidR="00EF682D">
        <w:rPr>
          <w:rStyle w:val="Enfasicorsivo"/>
          <w:i w:val="0"/>
        </w:rPr>
        <w:t xml:space="preserve">( </w:t>
      </w:r>
      <w:r w:rsidRPr="00BA22D1">
        <w:rPr>
          <w:rStyle w:val="Enfasicorsivo"/>
          <w:i w:val="0"/>
        </w:rPr>
        <w:t xml:space="preserve">Rinnovabili comprendono eolica, solare, idroelettrica e </w:t>
      </w:r>
      <w:r w:rsidRPr="00BA22D1">
        <w:rPr>
          <w:rStyle w:val="Enfasicorsivo"/>
          <w:i w:val="0"/>
        </w:rPr>
        <w:t xml:space="preserve">energia </w:t>
      </w:r>
      <w:r w:rsidRPr="00BA22D1">
        <w:rPr>
          <w:rStyle w:val="Enfasicorsivo"/>
          <w:i w:val="0"/>
        </w:rPr>
        <w:t>delle maree così come l'energia geotermica e le biomasse</w:t>
      </w:r>
      <w:r w:rsidR="00EF682D">
        <w:rPr>
          <w:rStyle w:val="Enfasicorsivo"/>
          <w:i w:val="0"/>
        </w:rPr>
        <w:t xml:space="preserve">). I bandi di finanziamento sia su temi di R&amp;S </w:t>
      </w:r>
      <w:r w:rsidR="005204C7">
        <w:rPr>
          <w:rStyle w:val="Enfasicorsivo"/>
          <w:i w:val="0"/>
        </w:rPr>
        <w:t xml:space="preserve">che di sostegno ad iniziative business </w:t>
      </w:r>
      <w:proofErr w:type="spellStart"/>
      <w:r w:rsidR="005204C7">
        <w:rPr>
          <w:rStyle w:val="Enfasicorsivo"/>
          <w:i w:val="0"/>
        </w:rPr>
        <w:t>oriented</w:t>
      </w:r>
      <w:proofErr w:type="spellEnd"/>
      <w:r w:rsidR="005204C7">
        <w:rPr>
          <w:rStyle w:val="Enfasicorsivo"/>
          <w:i w:val="0"/>
        </w:rPr>
        <w:t xml:space="preserve"> sono frequenti e possono essere facilmente monitorati sui consueti siti quali  </w:t>
      </w:r>
      <w:hyperlink r:id="rId10" w:history="1">
        <w:r w:rsidR="005204C7" w:rsidRPr="005204C7">
          <w:rPr>
            <w:rStyle w:val="Collegamentoipertestuale"/>
            <w:color w:val="auto"/>
            <w:u w:val="none"/>
          </w:rPr>
          <w:t>http://cordis.europa.eu/fp7/energy/</w:t>
        </w:r>
      </w:hyperlink>
      <w:r w:rsidR="005204C7" w:rsidRPr="005204C7">
        <w:rPr>
          <w:rStyle w:val="Enfasicorsivo"/>
          <w:i w:val="0"/>
        </w:rPr>
        <w:t>.</w:t>
      </w:r>
      <w:r w:rsidR="005204C7">
        <w:rPr>
          <w:rStyle w:val="Enfasicorsivo"/>
          <w:i w:val="0"/>
        </w:rPr>
        <w:t xml:space="preserve"> Ad esempio, </w:t>
      </w:r>
      <w:r w:rsidR="005204C7" w:rsidRPr="005204C7">
        <w:rPr>
          <w:rStyle w:val="Enfasicorsivo"/>
          <w:i w:val="0"/>
        </w:rPr>
        <w:t xml:space="preserve">l’ </w:t>
      </w:r>
      <w:proofErr w:type="spellStart"/>
      <w:r w:rsidR="005204C7" w:rsidRPr="005204C7">
        <w:rPr>
          <w:rStyle w:val="Enfasicorsivo"/>
          <w:i w:val="0"/>
        </w:rPr>
        <w:t>Intelligent</w:t>
      </w:r>
      <w:proofErr w:type="spellEnd"/>
      <w:r w:rsidR="005204C7" w:rsidRPr="005204C7">
        <w:rPr>
          <w:rStyle w:val="Enfasicorsivo"/>
          <w:i w:val="0"/>
        </w:rPr>
        <w:t xml:space="preserve"> Energy Europe (IEE) ha finanziato  343 progetti per un totale di 390 Milioni di Euro</w:t>
      </w:r>
      <w:r w:rsidR="005204C7" w:rsidRPr="005204C7">
        <w:rPr>
          <w:rStyle w:val="Rimandonotaapidipagina"/>
          <w:i/>
          <w:iCs/>
        </w:rPr>
        <w:footnoteReference w:id="3"/>
      </w:r>
      <w:r w:rsidR="005204C7" w:rsidRPr="005204C7">
        <w:rPr>
          <w:rFonts w:ascii="ECSquareSansPro-ExtraBlack" w:hAnsi="ECSquareSansPro-ExtraBlack" w:cs="ECSquareSansPro-ExtraBlack"/>
          <w:i/>
          <w:color w:val="FFFFFF"/>
          <w:sz w:val="24"/>
          <w:szCs w:val="24"/>
        </w:rPr>
        <w:t>€</w:t>
      </w:r>
    </w:p>
    <w:p w:rsidR="00631241" w:rsidRPr="00631241" w:rsidRDefault="00631241" w:rsidP="00631241">
      <w:pPr>
        <w:pStyle w:val="NormaleWeb"/>
        <w:jc w:val="both"/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</w:pPr>
      <w:r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 xml:space="preserve">Anche in </w:t>
      </w:r>
      <w:r w:rsidRPr="00631241"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 xml:space="preserve">Italia </w:t>
      </w:r>
      <w:r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 xml:space="preserve">qualcosa </w:t>
      </w:r>
      <w:r w:rsidR="00B85A27"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 xml:space="preserve">si muove. </w:t>
      </w:r>
      <w:r w:rsidR="00F21FCA" w:rsidRPr="00F21FCA"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>Il Quinto Conto Energia ha cessato di applicarsi il 6 luglio 2013, ovvero decorsi 30 giorni solari dal</w:t>
      </w:r>
      <w:r w:rsidR="00F21FCA"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 xml:space="preserve">la data di raggiungimento di un </w:t>
      </w:r>
      <w:r w:rsidR="00F21FCA" w:rsidRPr="00F21FCA"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>costo indicativo cumulato annuo degli incentivi di 6,7 miliard</w:t>
      </w:r>
      <w:r w:rsidR="00F21FCA"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 xml:space="preserve">i di euro, comunicata dall'AEEG </w:t>
      </w:r>
      <w:r w:rsidR="00F21FCA" w:rsidRPr="00F21FCA"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>con la deliberazione 250/2013/R/EFR.</w:t>
      </w:r>
      <w:r w:rsidR="00B85A27"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 xml:space="preserve"> Sta </w:t>
      </w:r>
      <w:r w:rsidR="00F21FCA"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 xml:space="preserve">intanto </w:t>
      </w:r>
      <w:r w:rsidR="00B85A27"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>prendendo il</w:t>
      </w:r>
      <w:r w:rsidRPr="00631241"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 xml:space="preserve"> via il primo intervento del nuovo Fondo per la crescita sostenibile, per un ammontare di </w:t>
      </w:r>
      <w:r w:rsidRPr="00B85A27">
        <w:rPr>
          <w:rStyle w:val="Enfasicorsivo"/>
          <w:rFonts w:asciiTheme="minorHAnsi" w:eastAsiaTheme="minorHAnsi" w:hAnsiTheme="minorHAnsi" w:cstheme="minorBidi"/>
          <w:bCs/>
          <w:i w:val="0"/>
          <w:sz w:val="22"/>
          <w:szCs w:val="22"/>
          <w:lang w:eastAsia="en-US"/>
        </w:rPr>
        <w:t>300 milioni</w:t>
      </w:r>
      <w:r w:rsidRPr="00631241">
        <w:rPr>
          <w:rStyle w:val="Enfasicorsivo"/>
          <w:rFonts w:asciiTheme="minorHAnsi" w:eastAsiaTheme="minorHAnsi" w:hAnsiTheme="minorHAnsi" w:cstheme="minorBidi"/>
          <w:b/>
          <w:bCs/>
          <w:i w:val="0"/>
          <w:sz w:val="22"/>
          <w:szCs w:val="22"/>
          <w:lang w:eastAsia="en-US"/>
        </w:rPr>
        <w:t xml:space="preserve"> </w:t>
      </w:r>
      <w:r w:rsidRPr="00631241"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 xml:space="preserve">di euro. Il bando, a valere sulle risorse già disponibili nel Fondo, si propone di promuovere l’innovazione diffusa, tramite </w:t>
      </w:r>
      <w:r w:rsidRPr="00B85A27"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>l’</w:t>
      </w:r>
      <w:r w:rsidRPr="00B85A27">
        <w:rPr>
          <w:rStyle w:val="Enfasicorsivo"/>
          <w:rFonts w:asciiTheme="minorHAnsi" w:eastAsiaTheme="minorHAnsi" w:hAnsiTheme="minorHAnsi" w:cstheme="minorBidi"/>
          <w:bCs/>
          <w:i w:val="0"/>
          <w:sz w:val="22"/>
          <w:szCs w:val="22"/>
          <w:lang w:eastAsia="en-US"/>
        </w:rPr>
        <w:t>agevolazione di progetti di ricerca e sviluppo</w:t>
      </w:r>
      <w:r w:rsidRPr="00631241"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 xml:space="preserve"> di piccola e media dimensione nei settori tecnologici </w:t>
      </w:r>
      <w:r w:rsidRPr="00631241"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lastRenderedPageBreak/>
        <w:t>individuati nel programma quadro comunitario Orizzonte 2020. È quindi un intervento rivolto prevalentemente, ma non solo, alle PMI.</w:t>
      </w:r>
    </w:p>
    <w:p w:rsidR="00631241" w:rsidRDefault="00631241" w:rsidP="00B85A27">
      <w:pPr>
        <w:pStyle w:val="NormaleWeb"/>
        <w:jc w:val="both"/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</w:pPr>
      <w:r w:rsidRPr="00631241"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 xml:space="preserve">Il bando, attuato con procedura valutativa “a sportello”, prevede l’agevolazione di progetti di R&amp;S di importo compreso fra </w:t>
      </w:r>
      <w:r w:rsidR="00B85A27"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 xml:space="preserve"> </w:t>
      </w:r>
      <w:r w:rsidRPr="00631241"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 xml:space="preserve">800.000 euro e 3 milioni di euro. L’agevolazione concedibile è rappresentata da un finanziamento agevolato per una percentuale delle spese ammissibili complessive (70% per le piccole imprese, 60% per le medie e 50% per le grandi), con tasso pari al 20% del tasso di riferimento vigente alla data di concessione, fissato sulla base di quello stabilito dalla Commissione europea. In ogni caso il tasso agevolato non può essere inferiore a 0,8%. </w:t>
      </w:r>
    </w:p>
    <w:p w:rsidR="009D266D" w:rsidRDefault="00F21FCA" w:rsidP="009D266D">
      <w:pPr>
        <w:pStyle w:val="NormaleWeb"/>
        <w:jc w:val="both"/>
      </w:pPr>
      <w:r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>La Regione Campania , in base al</w:t>
      </w:r>
      <w:r w:rsidR="00504CF8"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>la</w:t>
      </w:r>
      <w:r w:rsidRPr="00504CF8"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 xml:space="preserve">. </w:t>
      </w:r>
      <w:hyperlink r:id="rId11" w:history="1">
        <w:r w:rsidR="00504CF8" w:rsidRPr="00504CF8">
          <w:rPr>
            <w:rStyle w:val="Enfasicorsivo"/>
            <w:rFonts w:asciiTheme="minorHAnsi" w:eastAsiaTheme="minorHAnsi" w:hAnsiTheme="minorHAnsi" w:cstheme="minorBidi"/>
            <w:sz w:val="22"/>
            <w:szCs w:val="22"/>
            <w:lang w:eastAsia="en-US"/>
          </w:rPr>
          <w:t>Legge Regionale n. 1 del 18 febbraio 2013</w:t>
        </w:r>
      </w:hyperlink>
      <w:r w:rsidR="00504CF8" w:rsidRPr="00504CF8">
        <w:rPr>
          <w:rStyle w:val="Enfasicorsivo"/>
          <w:rFonts w:eastAsiaTheme="minorHAnsi"/>
        </w:rPr>
        <w:t xml:space="preserve"> avrebbe</w:t>
      </w:r>
      <w:r w:rsidR="00504CF8" w:rsidRPr="00504CF8"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 xml:space="preserve"> potuto fare molto per avviare un’efficace pianificazione energetica innovativa promuovendo ( e sostenendo) l’elaborazione dei piani energetici comunali. La scelta, invece, si è indirizzata verso “ l’asettica” produzione di bandi.  </w:t>
      </w:r>
      <w:r w:rsidR="009D266D">
        <w:t>–</w:t>
      </w:r>
      <w:r w:rsidR="009D266D">
        <w:t xml:space="preserve"> </w:t>
      </w:r>
    </w:p>
    <w:p w:rsidR="009D266D" w:rsidRPr="009D266D" w:rsidRDefault="009D266D" w:rsidP="009D266D">
      <w:pPr>
        <w:pStyle w:val="NormaleWeb"/>
        <w:jc w:val="both"/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</w:pPr>
      <w:r w:rsidRPr="009D266D"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>E’ stata pubblicata sul Bollettino Ufficiale della Regione Campania la delibera n. 193 del 21/06/2013 approvata dalla Giunta sul programma "Energia efficiente – Piano per promuovere e sostenere l'efficienza energetica della Regione Campania".</w:t>
      </w:r>
    </w:p>
    <w:p w:rsidR="009D266D" w:rsidRPr="009D266D" w:rsidRDefault="009D266D" w:rsidP="009D266D">
      <w:pPr>
        <w:pStyle w:val="NormaleWeb"/>
        <w:jc w:val="both"/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</w:pPr>
      <w:r w:rsidRPr="009D266D"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>Con essa vengono stanziati 115 milioni di euro, per finanziare</w:t>
      </w:r>
    </w:p>
    <w:p w:rsidR="009D266D" w:rsidRPr="009D266D" w:rsidRDefault="009D266D" w:rsidP="009D266D">
      <w:pPr>
        <w:pStyle w:val="NormaleWeb"/>
        <w:jc w:val="both"/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</w:pPr>
      <w:r w:rsidRPr="009D266D"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>● interventi finalizzati alla realizzazione di impianti per la produzione di energia rinnovabile a servizi di edifici di proprietà dei Comuni, delle Asl, della Aziende ospedaliere, dei Consorzi di Bonifica e della rete del Sistema di Metropolitana regionale;</w:t>
      </w:r>
    </w:p>
    <w:p w:rsidR="009D266D" w:rsidRPr="009D266D" w:rsidRDefault="009D266D" w:rsidP="009D266D">
      <w:pPr>
        <w:pStyle w:val="NormaleWeb"/>
        <w:jc w:val="both"/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</w:pPr>
      <w:r w:rsidRPr="009D266D"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>● interventi per sostenere l’innovazione tecnologica per il potenziamento e l’ottimizzazione delle reti di bassa, media, altissima tensione finalizzati al risparmio energetico;</w:t>
      </w:r>
    </w:p>
    <w:p w:rsidR="009D266D" w:rsidRPr="009D266D" w:rsidRDefault="009D266D" w:rsidP="009D266D">
      <w:pPr>
        <w:pStyle w:val="NormaleWeb"/>
        <w:jc w:val="both"/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</w:pPr>
      <w:r w:rsidRPr="009D266D"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 xml:space="preserve">● interventi di </w:t>
      </w:r>
      <w:proofErr w:type="spellStart"/>
      <w:r w:rsidRPr="009D266D"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>efficientamento</w:t>
      </w:r>
      <w:proofErr w:type="spellEnd"/>
      <w:r w:rsidRPr="009D266D"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 xml:space="preserve"> energetico degli edifici pubblici.</w:t>
      </w:r>
    </w:p>
    <w:p w:rsidR="00F21FCA" w:rsidRPr="00F21FCA" w:rsidRDefault="009D266D" w:rsidP="009D266D">
      <w:pPr>
        <w:pStyle w:val="NormaleWeb"/>
        <w:jc w:val="both"/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</w:pPr>
      <w:r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 xml:space="preserve"> </w:t>
      </w:r>
      <w:r w:rsidR="00504CF8"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>E’ stato p</w:t>
      </w:r>
      <w:r w:rsidR="00F21FCA" w:rsidRPr="00F21FCA"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>ub</w:t>
      </w:r>
      <w:r w:rsidR="00504CF8"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 xml:space="preserve">blicato sul Bollettino Ufficiale </w:t>
      </w:r>
      <w:r w:rsidR="00F21FCA" w:rsidRPr="00F21FCA"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 xml:space="preserve">del 02/09/2013 il Decreto dirigenziale n. 332/2013 del settore regolazione dei mercati, AGIC sviluppo economico, </w:t>
      </w:r>
      <w:r w:rsidR="00504CF8"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 xml:space="preserve">con i </w:t>
      </w:r>
      <w:r w:rsidR="00F21FCA" w:rsidRPr="00F21FCA"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 xml:space="preserve"> seguenti avvisi pubblici:</w:t>
      </w:r>
    </w:p>
    <w:p w:rsidR="00F21FCA" w:rsidRPr="00F21FCA" w:rsidRDefault="00504CF8" w:rsidP="00504CF8">
      <w:pPr>
        <w:pStyle w:val="NormaleWeb"/>
        <w:jc w:val="both"/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</w:pPr>
      <w:r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>1.1.</w:t>
      </w:r>
      <w:r w:rsidR="00F21FCA" w:rsidRPr="00F21FCA"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>Avviso pubblico ai co</w:t>
      </w:r>
      <w:r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>muni aventi sede nella regione C</w:t>
      </w:r>
      <w:r w:rsidR="00F21FCA" w:rsidRPr="00F21FCA"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 xml:space="preserve">ampania, e le loro forme associative, per la presentazione di istanze per la realizzazione di interventi finalizzati alla realizzazione di impianti per la produzione di energia rinnovabile a servizio di edifici di proprietà dei comuni ed alla realizzazione di interventi di </w:t>
      </w:r>
      <w:proofErr w:type="spellStart"/>
      <w:r w:rsidR="00F21FCA" w:rsidRPr="00F21FCA"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>efficientamento</w:t>
      </w:r>
      <w:proofErr w:type="spellEnd"/>
      <w:r w:rsidR="00F21FCA" w:rsidRPr="00F21FCA"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 xml:space="preserve"> energetico degli edifici di proprietà dei comuni”.</w:t>
      </w:r>
    </w:p>
    <w:p w:rsidR="00504CF8" w:rsidRDefault="009D266D" w:rsidP="00504CF8">
      <w:pPr>
        <w:pStyle w:val="NormaleWeb"/>
        <w:jc w:val="both"/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</w:pPr>
      <w:r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>1.2.</w:t>
      </w:r>
      <w:r w:rsidR="00F21FCA" w:rsidRPr="00F21FCA"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 xml:space="preserve">Avviso pubblico ai piccoli e medi comuni aventi sede nella regione </w:t>
      </w:r>
      <w:r w:rsidR="00504CF8"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>C</w:t>
      </w:r>
      <w:r w:rsidR="00504CF8" w:rsidRPr="00F21FCA"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>ampania</w:t>
      </w:r>
      <w:r w:rsidR="00F21FCA" w:rsidRPr="00F21FCA"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 xml:space="preserve">, e le loro forme associative, per la presentazione di istanze per la redazione dei PAES” </w:t>
      </w:r>
      <w:proofErr w:type="spellStart"/>
      <w:r w:rsidR="00504CF8">
        <w:rPr>
          <w:rStyle w:val="Enfasicorsivo"/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>etc</w:t>
      </w:r>
      <w:proofErr w:type="spellEnd"/>
    </w:p>
    <w:p w:rsidR="00B2142F" w:rsidRPr="00B2142F" w:rsidRDefault="009D266D" w:rsidP="00BA22D1">
      <w:pPr>
        <w:jc w:val="both"/>
        <w:rPr>
          <w:rStyle w:val="Enfasicorsivo"/>
          <w:i w:val="0"/>
          <w:iCs w:val="0"/>
        </w:rPr>
      </w:pPr>
      <w:r>
        <w:rPr>
          <w:rStyle w:val="Enfasicorsivo"/>
          <w:i w:val="0"/>
        </w:rPr>
        <w:t xml:space="preserve">Il tutto, dunque, nel quadro dei </w:t>
      </w:r>
      <w:r>
        <w:t>Piani d’azione per l’energia sostenibile (PAES) del Patto dei Sindaci</w:t>
      </w:r>
      <w:r w:rsidR="00B2142F">
        <w:t xml:space="preserve">. Virtuoso esempio di programmazione dal basso? O, piuttosto, spesa a pioggia di fondi comunitari non sostenuta da un’organica visione quale quella espressa nella </w:t>
      </w:r>
      <w:hyperlink r:id="rId12" w:history="1">
        <w:r w:rsidR="00B2142F" w:rsidRPr="00504CF8">
          <w:rPr>
            <w:rStyle w:val="Enfasicorsivo"/>
          </w:rPr>
          <w:t>Legge Regionale n. 1 del 18 febbraio 2013</w:t>
        </w:r>
      </w:hyperlink>
      <w:r w:rsidR="00B2142F">
        <w:rPr>
          <w:rStyle w:val="Enfasicorsivo"/>
          <w:b/>
          <w:bCs/>
        </w:rPr>
        <w:t xml:space="preserve">? </w:t>
      </w:r>
    </w:p>
    <w:p w:rsidR="00B2142F" w:rsidRPr="00BA22D1" w:rsidRDefault="00B2142F" w:rsidP="00BA22D1">
      <w:pPr>
        <w:jc w:val="both"/>
        <w:rPr>
          <w:rStyle w:val="Enfasicorsivo"/>
          <w:i w:val="0"/>
        </w:rPr>
      </w:pPr>
      <w:r w:rsidRPr="00B2142F">
        <w:rPr>
          <w:rStyle w:val="Enfasicorsivo"/>
          <w:bCs/>
          <w:i w:val="0"/>
        </w:rPr>
        <w:t>E’</w:t>
      </w:r>
      <w:r>
        <w:t xml:space="preserve"> intenzione espressa dal Governo Letta </w:t>
      </w:r>
      <w:r w:rsidRPr="00B2142F">
        <w:t xml:space="preserve"> </w:t>
      </w:r>
      <w:r>
        <w:t xml:space="preserve">il </w:t>
      </w:r>
      <w:proofErr w:type="spellStart"/>
      <w:r>
        <w:t>riaccentramento</w:t>
      </w:r>
      <w:proofErr w:type="spellEnd"/>
      <w:r>
        <w:t xml:space="preserve"> in sede di competenza statale delle politiche energetiche. Sarà difficile difendere la Regione Campania, sulla base delle politiche da essa messe in campo, in questa fase di neocentralismo.</w:t>
      </w:r>
      <w:bookmarkStart w:id="0" w:name="_GoBack"/>
      <w:bookmarkEnd w:id="0"/>
    </w:p>
    <w:sectPr w:rsidR="00B2142F" w:rsidRPr="00BA22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BA0" w:rsidRDefault="00D45BA0" w:rsidP="00442166">
      <w:pPr>
        <w:spacing w:after="0" w:line="240" w:lineRule="auto"/>
      </w:pPr>
      <w:r>
        <w:separator/>
      </w:r>
    </w:p>
  </w:endnote>
  <w:endnote w:type="continuationSeparator" w:id="0">
    <w:p w:rsidR="00D45BA0" w:rsidRDefault="00D45BA0" w:rsidP="0044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CSquareSansPro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BA0" w:rsidRDefault="00D45BA0" w:rsidP="00442166">
      <w:pPr>
        <w:spacing w:after="0" w:line="240" w:lineRule="auto"/>
      </w:pPr>
      <w:r>
        <w:separator/>
      </w:r>
    </w:p>
  </w:footnote>
  <w:footnote w:type="continuationSeparator" w:id="0">
    <w:p w:rsidR="00D45BA0" w:rsidRDefault="00D45BA0" w:rsidP="00442166">
      <w:pPr>
        <w:spacing w:after="0" w:line="240" w:lineRule="auto"/>
      </w:pPr>
      <w:r>
        <w:continuationSeparator/>
      </w:r>
    </w:p>
  </w:footnote>
  <w:footnote w:id="1">
    <w:p w:rsidR="00442166" w:rsidRPr="00442166" w:rsidRDefault="00442166" w:rsidP="00442166">
      <w:pPr>
        <w:pStyle w:val="Sottotitolo"/>
        <w:jc w:val="both"/>
        <w:rPr>
          <w:rFonts w:asciiTheme="minorHAnsi" w:hAnsiTheme="minorHAnsi" w:cstheme="minorBidi"/>
          <w:b w:val="0"/>
          <w:color w:val="auto"/>
          <w:sz w:val="22"/>
          <w:lang w:val="en-US" w:eastAsia="en-US"/>
        </w:rPr>
      </w:pPr>
      <w:r w:rsidRPr="00442166">
        <w:rPr>
          <w:rFonts w:asciiTheme="minorHAnsi" w:hAnsiTheme="minorHAnsi" w:cstheme="minorBidi"/>
          <w:b w:val="0"/>
          <w:color w:val="auto"/>
          <w:sz w:val="22"/>
          <w:lang w:val="it-IT" w:eastAsia="en-US"/>
        </w:rPr>
        <w:footnoteRef/>
      </w:r>
      <w:r w:rsidRPr="00442166">
        <w:rPr>
          <w:rFonts w:asciiTheme="minorHAnsi" w:hAnsiTheme="minorHAnsi" w:cstheme="minorBidi"/>
          <w:b w:val="0"/>
          <w:color w:val="auto"/>
          <w:sz w:val="22"/>
          <w:lang w:val="en-US" w:eastAsia="en-US"/>
        </w:rPr>
        <w:t xml:space="preserve"> Renewable energy depends on the public not private sector  By David Hall, Steve Thomas, Sandra van </w:t>
      </w:r>
      <w:proofErr w:type="spellStart"/>
      <w:r w:rsidRPr="00442166">
        <w:rPr>
          <w:rFonts w:asciiTheme="minorHAnsi" w:hAnsiTheme="minorHAnsi" w:cstheme="minorBidi"/>
          <w:b w:val="0"/>
          <w:color w:val="auto"/>
          <w:sz w:val="22"/>
          <w:lang w:val="en-US" w:eastAsia="en-US"/>
        </w:rPr>
        <w:t>Niekerk</w:t>
      </w:r>
      <w:proofErr w:type="spellEnd"/>
      <w:r w:rsidRPr="00442166">
        <w:rPr>
          <w:rFonts w:asciiTheme="minorHAnsi" w:hAnsiTheme="minorHAnsi" w:cstheme="minorBidi"/>
          <w:b w:val="0"/>
          <w:color w:val="auto"/>
          <w:sz w:val="22"/>
          <w:lang w:val="en-US" w:eastAsia="en-US"/>
        </w:rPr>
        <w:t>, Jenny Nguyen</w:t>
      </w:r>
      <w:r>
        <w:rPr>
          <w:rFonts w:asciiTheme="minorHAnsi" w:hAnsiTheme="minorHAnsi" w:cstheme="minorBidi"/>
          <w:b w:val="0"/>
          <w:color w:val="auto"/>
          <w:sz w:val="22"/>
          <w:lang w:val="en-US" w:eastAsia="en-US"/>
        </w:rPr>
        <w:t xml:space="preserve"> ( University of Greenwi</w:t>
      </w:r>
      <w:r w:rsidR="00FB0CCB">
        <w:rPr>
          <w:rFonts w:asciiTheme="minorHAnsi" w:hAnsiTheme="minorHAnsi" w:cstheme="minorBidi"/>
          <w:b w:val="0"/>
          <w:color w:val="auto"/>
          <w:sz w:val="22"/>
          <w:lang w:val="en-US" w:eastAsia="en-US"/>
        </w:rPr>
        <w:t>ch)</w:t>
      </w:r>
      <w:r w:rsidR="00FB0CCB" w:rsidRPr="00FB0CCB">
        <w:rPr>
          <w:rFonts w:asciiTheme="minorHAnsi" w:hAnsiTheme="minorHAnsi" w:cstheme="minorBidi"/>
          <w:b w:val="0"/>
          <w:color w:val="auto"/>
          <w:sz w:val="22"/>
          <w:lang w:val="en-US" w:eastAsia="en-US"/>
        </w:rPr>
        <w:t xml:space="preserve"> </w:t>
      </w:r>
      <w:r w:rsidR="00FB0CCB" w:rsidRPr="00442166">
        <w:rPr>
          <w:rFonts w:asciiTheme="minorHAnsi" w:hAnsiTheme="minorHAnsi" w:cstheme="minorBidi"/>
          <w:b w:val="0"/>
          <w:color w:val="auto"/>
          <w:sz w:val="22"/>
          <w:lang w:val="en-US" w:eastAsia="en-US"/>
        </w:rPr>
        <w:t>June 2013</w:t>
      </w:r>
    </w:p>
    <w:p w:rsidR="00442166" w:rsidRPr="00442166" w:rsidRDefault="00442166">
      <w:pPr>
        <w:pStyle w:val="Testonotaapidipagina"/>
        <w:rPr>
          <w:lang w:val="en-US"/>
        </w:rPr>
      </w:pPr>
    </w:p>
  </w:footnote>
  <w:footnote w:id="2">
    <w:p w:rsidR="00BA22D1" w:rsidRDefault="00BA22D1" w:rsidP="00BA22D1">
      <w:pPr>
        <w:pStyle w:val="CM1"/>
        <w:spacing w:before="200" w:after="200"/>
        <w:jc w:val="center"/>
        <w:rPr>
          <w:rFonts w:cs="EUAlbertina"/>
          <w:color w:val="000000"/>
        </w:rPr>
      </w:pPr>
      <w:r>
        <w:rPr>
          <w:rStyle w:val="Rimandonotaapidipagina"/>
        </w:rPr>
        <w:footnoteRef/>
      </w:r>
      <w:r>
        <w:t xml:space="preserve"> </w:t>
      </w:r>
    </w:p>
    <w:p w:rsidR="00BA22D1" w:rsidRDefault="00BA22D1" w:rsidP="00BA22D1">
      <w:pPr>
        <w:pStyle w:val="CM3"/>
        <w:spacing w:before="60" w:after="60"/>
        <w:jc w:val="both"/>
        <w:rPr>
          <w:rFonts w:cs="EUAlbertina"/>
          <w:color w:val="000000"/>
        </w:rPr>
      </w:pPr>
    </w:p>
    <w:p w:rsidR="00BA22D1" w:rsidRPr="00BA22D1" w:rsidRDefault="00BA22D1" w:rsidP="00BA22D1">
      <w:pPr>
        <w:pStyle w:val="Default"/>
        <w:jc w:val="both"/>
        <w:rPr>
          <w:sz w:val="16"/>
          <w:szCs w:val="16"/>
        </w:rPr>
      </w:pPr>
      <w:r w:rsidRPr="00BA22D1">
        <w:rPr>
          <w:sz w:val="16"/>
          <w:szCs w:val="16"/>
        </w:rPr>
        <w:t xml:space="preserve">… </w:t>
      </w:r>
      <w:r w:rsidRPr="00BA22D1">
        <w:rPr>
          <w:sz w:val="16"/>
          <w:szCs w:val="16"/>
        </w:rPr>
        <w:t>È opportuno incoraggiare gli Stati membri e le regioni ad utilizzare appieno i fondi strutturali e il fondo di coesione per stimolare gli investimenti nelle misure di miglioramento dell'efficienza energetica. Gli investimenti nell'efficienza energetica possono contribuire alla crescita economica, all'occupazione, all'innovazione e alla riduzione della precarietà energetica delle famiglie e contribuiscono pertanto in modo positivo alla coesione economica, sociale e territoriale. Tra i settori potenziali di finanziamento si annoverano misure di efficienza energetica negli edifici pubblici e negli alloggi sociali e la fornitura di nuove competenze che favoriscano l'occupazione nel settore dell'efficienza energetica</w:t>
      </w:r>
      <w:r w:rsidRPr="00BA22D1">
        <w:rPr>
          <w:sz w:val="16"/>
          <w:szCs w:val="16"/>
        </w:rPr>
        <w:t xml:space="preserve">…. </w:t>
      </w:r>
    </w:p>
    <w:p w:rsidR="00BA22D1" w:rsidRPr="00BA22D1" w:rsidRDefault="00BA22D1" w:rsidP="00BA22D1">
      <w:pPr>
        <w:pStyle w:val="CM4"/>
        <w:spacing w:before="60" w:after="60"/>
        <w:jc w:val="both"/>
        <w:rPr>
          <w:rFonts w:cs="EUAlbertina"/>
          <w:color w:val="000000"/>
          <w:sz w:val="16"/>
          <w:szCs w:val="16"/>
        </w:rPr>
      </w:pPr>
      <w:r w:rsidRPr="00BA22D1">
        <w:rPr>
          <w:rFonts w:cs="EUAlbertina"/>
          <w:b/>
          <w:bCs/>
          <w:color w:val="000000"/>
          <w:sz w:val="16"/>
          <w:szCs w:val="16"/>
        </w:rPr>
        <w:t xml:space="preserve">DIRETTIVA 2012/27/UE DEL PARLAMENTO EUROPEO E DEL CONSIGLIO </w:t>
      </w:r>
      <w:r w:rsidRPr="00BA22D1">
        <w:rPr>
          <w:rFonts w:cs="EUAlbertina"/>
          <w:color w:val="000000"/>
          <w:sz w:val="16"/>
          <w:szCs w:val="16"/>
        </w:rPr>
        <w:t xml:space="preserve"> </w:t>
      </w:r>
      <w:r w:rsidRPr="00BA22D1">
        <w:rPr>
          <w:rFonts w:cs="EUAlbertina"/>
          <w:b/>
          <w:bCs/>
          <w:color w:val="000000"/>
          <w:sz w:val="16"/>
          <w:szCs w:val="16"/>
        </w:rPr>
        <w:t xml:space="preserve">del 25 ottobre 2012 </w:t>
      </w:r>
      <w:r w:rsidRPr="00BA22D1">
        <w:rPr>
          <w:rFonts w:cs="EUAlbertina"/>
          <w:b/>
          <w:bCs/>
          <w:color w:val="000000"/>
          <w:sz w:val="16"/>
          <w:szCs w:val="16"/>
        </w:rPr>
        <w:t xml:space="preserve"> </w:t>
      </w:r>
      <w:r w:rsidRPr="00BA22D1">
        <w:rPr>
          <w:rFonts w:cs="EUAlbertina"/>
          <w:b/>
          <w:bCs/>
          <w:color w:val="000000"/>
          <w:sz w:val="16"/>
          <w:szCs w:val="16"/>
        </w:rPr>
        <w:t>sull'efficienza energetica, che modifica le direttive 2009/125/CE e 2010/30/UE e abroga le direttive 2004/8/CE e 2006/32/CE</w:t>
      </w:r>
    </w:p>
  </w:footnote>
  <w:footnote w:id="3">
    <w:p w:rsidR="005204C7" w:rsidRDefault="005204C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204C7">
        <w:t>http://ec.europa.eu/energy/intelligent/in-action/infographic_en.htm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1E"/>
    <w:rsid w:val="00283B5C"/>
    <w:rsid w:val="002D538A"/>
    <w:rsid w:val="00442166"/>
    <w:rsid w:val="004B4FEB"/>
    <w:rsid w:val="00504CF8"/>
    <w:rsid w:val="005204C7"/>
    <w:rsid w:val="0061581E"/>
    <w:rsid w:val="00631241"/>
    <w:rsid w:val="006C663F"/>
    <w:rsid w:val="007170BF"/>
    <w:rsid w:val="00973511"/>
    <w:rsid w:val="009D266D"/>
    <w:rsid w:val="00A13C03"/>
    <w:rsid w:val="00B2142F"/>
    <w:rsid w:val="00B72ED9"/>
    <w:rsid w:val="00B85A27"/>
    <w:rsid w:val="00BA22D1"/>
    <w:rsid w:val="00BA7A34"/>
    <w:rsid w:val="00C42906"/>
    <w:rsid w:val="00D45BA0"/>
    <w:rsid w:val="00EF3873"/>
    <w:rsid w:val="00EF682D"/>
    <w:rsid w:val="00F21FCA"/>
    <w:rsid w:val="00FB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1581E"/>
    <w:rPr>
      <w:b/>
      <w:bCs/>
    </w:rPr>
  </w:style>
  <w:style w:type="character" w:styleId="Enfasicorsivo">
    <w:name w:val="Emphasis"/>
    <w:basedOn w:val="Carpredefinitoparagrafo"/>
    <w:uiPriority w:val="20"/>
    <w:qFormat/>
    <w:rsid w:val="0061581E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1581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1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21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21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2166"/>
    <w:rPr>
      <w:vertAlign w:val="superscript"/>
    </w:rPr>
  </w:style>
  <w:style w:type="paragraph" w:styleId="Sottotitolo">
    <w:name w:val="Subtitle"/>
    <w:basedOn w:val="Normale"/>
    <w:link w:val="SottotitoloCarattere"/>
    <w:qFormat/>
    <w:rsid w:val="00442166"/>
    <w:pPr>
      <w:spacing w:after="60" w:line="240" w:lineRule="auto"/>
      <w:jc w:val="center"/>
      <w:outlineLvl w:val="1"/>
    </w:pPr>
    <w:rPr>
      <w:rFonts w:ascii="Lucida Sans Unicode" w:hAnsi="Lucida Sans Unicode" w:cs="Arial"/>
      <w:b/>
      <w:color w:val="FF0000"/>
      <w:sz w:val="24"/>
      <w:lang w:val="en-GB" w:eastAsia="en-GB"/>
    </w:rPr>
  </w:style>
  <w:style w:type="character" w:customStyle="1" w:styleId="SottotitoloCarattere">
    <w:name w:val="Sottotitolo Carattere"/>
    <w:basedOn w:val="Carpredefinitoparagrafo"/>
    <w:link w:val="Sottotitolo"/>
    <w:rsid w:val="00442166"/>
    <w:rPr>
      <w:rFonts w:ascii="Lucida Sans Unicode" w:hAnsi="Lucida Sans Unicode" w:cs="Arial"/>
      <w:b/>
      <w:color w:val="FF0000"/>
      <w:sz w:val="24"/>
      <w:lang w:val="en-GB" w:eastAsia="en-GB"/>
    </w:rPr>
  </w:style>
  <w:style w:type="paragraph" w:customStyle="1" w:styleId="CM1">
    <w:name w:val="CM1"/>
    <w:basedOn w:val="Normale"/>
    <w:next w:val="Normale"/>
    <w:uiPriority w:val="99"/>
    <w:rsid w:val="00BA22D1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BA22D1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BA22D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A22D1"/>
    <w:rPr>
      <w:rFonts w:cstheme="minorBidi"/>
      <w:color w:val="auto"/>
    </w:rPr>
  </w:style>
  <w:style w:type="character" w:customStyle="1" w:styleId="hps">
    <w:name w:val="hps"/>
    <w:basedOn w:val="Carpredefinitoparagrafo"/>
    <w:rsid w:val="00BA22D1"/>
  </w:style>
  <w:style w:type="paragraph" w:styleId="NormaleWeb">
    <w:name w:val="Normal (Web)"/>
    <w:basedOn w:val="Normale"/>
    <w:uiPriority w:val="99"/>
    <w:semiHidden/>
    <w:unhideWhenUsed/>
    <w:rsid w:val="0063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1581E"/>
    <w:rPr>
      <w:b/>
      <w:bCs/>
    </w:rPr>
  </w:style>
  <w:style w:type="character" w:styleId="Enfasicorsivo">
    <w:name w:val="Emphasis"/>
    <w:basedOn w:val="Carpredefinitoparagrafo"/>
    <w:uiPriority w:val="20"/>
    <w:qFormat/>
    <w:rsid w:val="0061581E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1581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1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21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21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2166"/>
    <w:rPr>
      <w:vertAlign w:val="superscript"/>
    </w:rPr>
  </w:style>
  <w:style w:type="paragraph" w:styleId="Sottotitolo">
    <w:name w:val="Subtitle"/>
    <w:basedOn w:val="Normale"/>
    <w:link w:val="SottotitoloCarattere"/>
    <w:qFormat/>
    <w:rsid w:val="00442166"/>
    <w:pPr>
      <w:spacing w:after="60" w:line="240" w:lineRule="auto"/>
      <w:jc w:val="center"/>
      <w:outlineLvl w:val="1"/>
    </w:pPr>
    <w:rPr>
      <w:rFonts w:ascii="Lucida Sans Unicode" w:hAnsi="Lucida Sans Unicode" w:cs="Arial"/>
      <w:b/>
      <w:color w:val="FF0000"/>
      <w:sz w:val="24"/>
      <w:lang w:val="en-GB" w:eastAsia="en-GB"/>
    </w:rPr>
  </w:style>
  <w:style w:type="character" w:customStyle="1" w:styleId="SottotitoloCarattere">
    <w:name w:val="Sottotitolo Carattere"/>
    <w:basedOn w:val="Carpredefinitoparagrafo"/>
    <w:link w:val="Sottotitolo"/>
    <w:rsid w:val="00442166"/>
    <w:rPr>
      <w:rFonts w:ascii="Lucida Sans Unicode" w:hAnsi="Lucida Sans Unicode" w:cs="Arial"/>
      <w:b/>
      <w:color w:val="FF0000"/>
      <w:sz w:val="24"/>
      <w:lang w:val="en-GB" w:eastAsia="en-GB"/>
    </w:rPr>
  </w:style>
  <w:style w:type="paragraph" w:customStyle="1" w:styleId="CM1">
    <w:name w:val="CM1"/>
    <w:basedOn w:val="Normale"/>
    <w:next w:val="Normale"/>
    <w:uiPriority w:val="99"/>
    <w:rsid w:val="00BA22D1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BA22D1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BA22D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A22D1"/>
    <w:rPr>
      <w:rFonts w:cstheme="minorBidi"/>
      <w:color w:val="auto"/>
    </w:rPr>
  </w:style>
  <w:style w:type="character" w:customStyle="1" w:styleId="hps">
    <w:name w:val="hps"/>
    <w:basedOn w:val="Carpredefinitoparagrafo"/>
    <w:rsid w:val="00BA22D1"/>
  </w:style>
  <w:style w:type="paragraph" w:styleId="NormaleWeb">
    <w:name w:val="Normal (Web)"/>
    <w:basedOn w:val="Normale"/>
    <w:uiPriority w:val="99"/>
    <w:semiHidden/>
    <w:unhideWhenUsed/>
    <w:rsid w:val="0063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rl.europa.eu/portal/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urc.regione.campania.it/eBurcWeb/directServlet?DOCUMENT_ID=49867&amp;ATTACH_ID=6557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rc.regione.campania.it/eBurcWeb/directServlet?DOCUMENT_ID=49867&amp;ATTACH_ID=6557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rdis.europa.eu/fp7/energ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nnovabili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B15FF-9476-4FF2-89DF-ED8154A3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Arin</Company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Miccio</dc:creator>
  <cp:keywords/>
  <dc:description/>
  <cp:lastModifiedBy>Bruno Miccio</cp:lastModifiedBy>
  <cp:revision>3</cp:revision>
  <dcterms:created xsi:type="dcterms:W3CDTF">2013-09-24T08:06:00Z</dcterms:created>
  <dcterms:modified xsi:type="dcterms:W3CDTF">2013-09-24T12:33:00Z</dcterms:modified>
</cp:coreProperties>
</file>